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E5841" w14:textId="77777777" w:rsidR="007335AF" w:rsidRDefault="007335AF" w:rsidP="007335AF">
      <w:pPr>
        <w:pStyle w:val="NormalWeb"/>
        <w:rPr>
          <w:rFonts w:cstheme="minorHAnsi"/>
          <w:b/>
          <w:bCs/>
        </w:rPr>
      </w:pPr>
    </w:p>
    <w:p w14:paraId="3074F0D4" w14:textId="6A55F253" w:rsidR="007335AF" w:rsidRPr="007335AF" w:rsidRDefault="007335AF" w:rsidP="007335AF">
      <w:pPr>
        <w:pStyle w:val="NormalWeb"/>
        <w:rPr>
          <w:rFonts w:cstheme="minorHAnsi"/>
          <w:b/>
          <w:bCs/>
        </w:rPr>
      </w:pPr>
      <w:r w:rsidRPr="007335AF">
        <w:rPr>
          <w:rFonts w:cstheme="minorHAnsi"/>
          <w:b/>
          <w:bCs/>
        </w:rPr>
        <w:t>Michael Faraday’s Letter to the Editor</w:t>
      </w:r>
      <w:r>
        <w:rPr>
          <w:rFonts w:cstheme="minorHAnsi"/>
          <w:b/>
          <w:bCs/>
        </w:rPr>
        <w:t xml:space="preserve"> </w:t>
      </w:r>
      <w:r w:rsidRPr="007335AF">
        <w:rPr>
          <w:rFonts w:cstheme="minorHAnsi"/>
          <w:b/>
          <w:bCs/>
        </w:rPr>
        <w:t>on Pollution of the River Thames</w:t>
      </w:r>
    </w:p>
    <w:p w14:paraId="1147B203" w14:textId="77777777" w:rsidR="007335AF" w:rsidRPr="007335AF" w:rsidRDefault="007335AF" w:rsidP="007335AF">
      <w:pPr>
        <w:pStyle w:val="NormalWeb"/>
        <w:rPr>
          <w:rFonts w:cstheme="minorHAnsi"/>
          <w:b/>
          <w:bCs/>
        </w:rPr>
      </w:pPr>
      <w:r w:rsidRPr="007335AF">
        <w:rPr>
          <w:rFonts w:cstheme="minorHAnsi"/>
          <w:b/>
          <w:bCs/>
        </w:rPr>
        <w:t>Royal Institution: July 7, 1855.</w:t>
      </w:r>
    </w:p>
    <w:p w14:paraId="0684CB06" w14:textId="77777777" w:rsidR="007335AF" w:rsidRPr="007335AF" w:rsidRDefault="007335AF" w:rsidP="007335AF">
      <w:pPr>
        <w:pStyle w:val="NormalWeb"/>
        <w:rPr>
          <w:rFonts w:cstheme="minorHAnsi"/>
          <w:b/>
          <w:bCs/>
        </w:rPr>
      </w:pPr>
      <w:r w:rsidRPr="007335AF">
        <w:rPr>
          <w:rFonts w:cstheme="minorHAnsi"/>
          <w:b/>
          <w:bCs/>
        </w:rPr>
        <w:t xml:space="preserve">Published in </w:t>
      </w:r>
      <w:r w:rsidRPr="007335AF">
        <w:rPr>
          <w:rFonts w:cstheme="minorHAnsi"/>
          <w:b/>
          <w:bCs/>
          <w:i/>
          <w:iCs/>
        </w:rPr>
        <w:t>The Times</w:t>
      </w:r>
    </w:p>
    <w:p w14:paraId="2F6D65EB" w14:textId="0EB1F4CF" w:rsidR="007335AF" w:rsidRPr="007335AF" w:rsidRDefault="007335AF" w:rsidP="007335AF">
      <w:pPr>
        <w:pStyle w:val="NormalWeb"/>
        <w:rPr>
          <w:rFonts w:cstheme="minorHAnsi"/>
        </w:rPr>
      </w:pPr>
      <w:r w:rsidRPr="007335AF">
        <w:rPr>
          <w:rFonts w:cstheme="minorHAnsi"/>
          <w:i/>
          <w:iCs/>
        </w:rPr>
        <w:t xml:space="preserve">[In the mid-19th century, before the great engineering scheme by Sir Joseph </w:t>
      </w:r>
      <w:proofErr w:type="spellStart"/>
      <w:r w:rsidRPr="007335AF">
        <w:rPr>
          <w:rFonts w:cstheme="minorHAnsi"/>
          <w:i/>
          <w:iCs/>
        </w:rPr>
        <w:t>Bazalgette</w:t>
      </w:r>
      <w:proofErr w:type="spellEnd"/>
      <w:r w:rsidRPr="007335AF">
        <w:rPr>
          <w:rFonts w:cstheme="minorHAnsi"/>
          <w:i/>
          <w:iCs/>
        </w:rPr>
        <w:t xml:space="preserve"> provided sewers across the city of London, increasing amounts of raw sewage and waste had been dumped into the River Thames, causing extreme pollution. Benjamin Disraeli called it the “Stygian Pool.” </w:t>
      </w:r>
      <w:r w:rsidR="003E7EBF" w:rsidRPr="007335AF">
        <w:rPr>
          <w:rFonts w:cstheme="minorHAnsi"/>
          <w:i/>
          <w:iCs/>
        </w:rPr>
        <w:t>Finally,</w:t>
      </w:r>
      <w:r w:rsidRPr="007335AF">
        <w:rPr>
          <w:rFonts w:cstheme="minorHAnsi"/>
          <w:i/>
          <w:iCs/>
        </w:rPr>
        <w:t xml:space="preserve"> the politicians in the Houses of Parliament, built beside the River, suffered a stench that made the building uninhabitable. They finally took action in 1858, and authorized </w:t>
      </w:r>
      <w:proofErr w:type="spellStart"/>
      <w:r w:rsidRPr="007335AF">
        <w:rPr>
          <w:rFonts w:cstheme="minorHAnsi"/>
          <w:i/>
          <w:iCs/>
        </w:rPr>
        <w:t>Bazelgette</w:t>
      </w:r>
      <w:proofErr w:type="spellEnd"/>
      <w:r w:rsidRPr="007335AF">
        <w:rPr>
          <w:rFonts w:cstheme="minorHAnsi"/>
          <w:i/>
          <w:iCs/>
        </w:rPr>
        <w:t xml:space="preserve"> to fix the “The Great Stink.” The problem had been growing for years, and the </w:t>
      </w:r>
      <w:r w:rsidR="003E7EBF" w:rsidRPr="007335AF">
        <w:rPr>
          <w:rFonts w:cstheme="minorHAnsi"/>
          <w:i/>
          <w:iCs/>
        </w:rPr>
        <w:t>newspapers</w:t>
      </w:r>
      <w:r w:rsidRPr="007335AF">
        <w:rPr>
          <w:rFonts w:cstheme="minorHAnsi"/>
          <w:i/>
          <w:iCs/>
        </w:rPr>
        <w:t xml:space="preserve"> had carried editorials and columns of indignant correspondence from men of influence. The respected scientist, Michael Faraday, wrote this letter in 1855 describing the serious pollution, which was republished in various periodicals.]</w:t>
      </w:r>
    </w:p>
    <w:p w14:paraId="12EBBFD1" w14:textId="782A67BF" w:rsidR="007335AF" w:rsidRPr="007335AF" w:rsidRDefault="007335AF" w:rsidP="007335AF">
      <w:pPr>
        <w:pStyle w:val="NormalWeb"/>
        <w:rPr>
          <w:rFonts w:cstheme="minorHAnsi"/>
        </w:rPr>
      </w:pPr>
      <w:r w:rsidRPr="007335AF">
        <w:rPr>
          <w:rFonts w:cstheme="minorHAnsi"/>
          <w:noProof/>
        </w:rPr>
        <w:lastRenderedPageBreak/>
        <w:drawing>
          <wp:anchor distT="0" distB="0" distL="114300" distR="114300" simplePos="0" relativeHeight="251658240" behindDoc="1" locked="0" layoutInCell="1" allowOverlap="1" wp14:anchorId="2A9BA77B" wp14:editId="1548E4C6">
            <wp:simplePos x="0" y="0"/>
            <wp:positionH relativeFrom="margin">
              <wp:posOffset>511629</wp:posOffset>
            </wp:positionH>
            <wp:positionV relativeFrom="paragraph">
              <wp:posOffset>7348</wp:posOffset>
            </wp:positionV>
            <wp:extent cx="4414520" cy="5486400"/>
            <wp:effectExtent l="0" t="0" r="5080" b="0"/>
            <wp:wrapTight wrapText="bothSides">
              <wp:wrapPolygon edited="0">
                <wp:start x="0" y="0"/>
                <wp:lineTo x="0" y="21525"/>
                <wp:lineTo x="21532" y="21525"/>
                <wp:lineTo x="21532" y="0"/>
                <wp:lineTo x="0" y="0"/>
              </wp:wrapPolygon>
            </wp:wrapTight>
            <wp:docPr id="1" name="Picture 1" descr="Punch cartoon; Faraday leans from riverboat, handing card to a dirty vagabond, Father Thames standing hip-deep i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ch cartoon; Faraday leans from riverboat, handing card to a dirty vagabond, Father Thames standing hip-deep in wa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4520" cy="548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53EA90" w14:textId="77777777" w:rsidR="007335AF" w:rsidRDefault="007335AF" w:rsidP="007335AF">
      <w:pPr>
        <w:pStyle w:val="NormalWeb"/>
        <w:rPr>
          <w:rFonts w:asciiTheme="minorHAnsi" w:hAnsiTheme="minorHAnsi" w:cstheme="minorHAnsi"/>
        </w:rPr>
      </w:pPr>
    </w:p>
    <w:p w14:paraId="0EE9934E" w14:textId="77777777" w:rsidR="007335AF" w:rsidRDefault="007335AF" w:rsidP="007335AF">
      <w:pPr>
        <w:pStyle w:val="NormalWeb"/>
        <w:rPr>
          <w:rFonts w:asciiTheme="minorHAnsi" w:hAnsiTheme="minorHAnsi" w:cstheme="minorHAnsi"/>
        </w:rPr>
      </w:pPr>
    </w:p>
    <w:p w14:paraId="68266264" w14:textId="77777777" w:rsidR="007335AF" w:rsidRDefault="007335AF" w:rsidP="007335AF">
      <w:pPr>
        <w:pStyle w:val="NormalWeb"/>
        <w:rPr>
          <w:rFonts w:asciiTheme="minorHAnsi" w:hAnsiTheme="minorHAnsi" w:cstheme="minorHAnsi"/>
        </w:rPr>
      </w:pPr>
    </w:p>
    <w:p w14:paraId="56618EE1" w14:textId="77777777" w:rsidR="007335AF" w:rsidRDefault="007335AF" w:rsidP="007335AF">
      <w:pPr>
        <w:pStyle w:val="NormalWeb"/>
        <w:rPr>
          <w:rFonts w:asciiTheme="minorHAnsi" w:hAnsiTheme="minorHAnsi" w:cstheme="minorHAnsi"/>
        </w:rPr>
      </w:pPr>
    </w:p>
    <w:p w14:paraId="2FF0BFB4" w14:textId="77777777" w:rsidR="007335AF" w:rsidRDefault="007335AF" w:rsidP="007335AF">
      <w:pPr>
        <w:pStyle w:val="NormalWeb"/>
        <w:rPr>
          <w:rFonts w:asciiTheme="minorHAnsi" w:hAnsiTheme="minorHAnsi" w:cstheme="minorHAnsi"/>
        </w:rPr>
      </w:pPr>
    </w:p>
    <w:p w14:paraId="44558231" w14:textId="77777777" w:rsidR="007335AF" w:rsidRDefault="007335AF" w:rsidP="007335AF">
      <w:pPr>
        <w:pStyle w:val="NormalWeb"/>
        <w:rPr>
          <w:rFonts w:asciiTheme="minorHAnsi" w:hAnsiTheme="minorHAnsi" w:cstheme="minorHAnsi"/>
        </w:rPr>
      </w:pPr>
    </w:p>
    <w:p w14:paraId="36544A75" w14:textId="77777777" w:rsidR="007335AF" w:rsidRDefault="007335AF" w:rsidP="007335AF">
      <w:pPr>
        <w:pStyle w:val="NormalWeb"/>
        <w:rPr>
          <w:rFonts w:asciiTheme="minorHAnsi" w:hAnsiTheme="minorHAnsi" w:cstheme="minorHAnsi"/>
        </w:rPr>
      </w:pPr>
    </w:p>
    <w:p w14:paraId="11546C13" w14:textId="77777777" w:rsidR="007335AF" w:rsidRDefault="007335AF" w:rsidP="007335AF">
      <w:pPr>
        <w:pStyle w:val="NormalWeb"/>
        <w:rPr>
          <w:rFonts w:asciiTheme="minorHAnsi" w:hAnsiTheme="minorHAnsi" w:cstheme="minorHAnsi"/>
        </w:rPr>
      </w:pPr>
    </w:p>
    <w:p w14:paraId="41C78053" w14:textId="77777777" w:rsidR="007335AF" w:rsidRDefault="007335AF" w:rsidP="007335AF">
      <w:pPr>
        <w:pStyle w:val="NormalWeb"/>
        <w:rPr>
          <w:rFonts w:asciiTheme="minorHAnsi" w:hAnsiTheme="minorHAnsi" w:cstheme="minorHAnsi"/>
        </w:rPr>
      </w:pPr>
    </w:p>
    <w:p w14:paraId="2275F14B" w14:textId="77777777" w:rsidR="007335AF" w:rsidRDefault="007335AF" w:rsidP="007335AF">
      <w:pPr>
        <w:pStyle w:val="NormalWeb"/>
        <w:rPr>
          <w:rFonts w:asciiTheme="minorHAnsi" w:hAnsiTheme="minorHAnsi" w:cstheme="minorHAnsi"/>
        </w:rPr>
      </w:pPr>
    </w:p>
    <w:p w14:paraId="745A8D56" w14:textId="77777777" w:rsidR="007335AF" w:rsidRDefault="007335AF" w:rsidP="007335AF">
      <w:pPr>
        <w:pStyle w:val="NormalWeb"/>
        <w:rPr>
          <w:rFonts w:asciiTheme="minorHAnsi" w:hAnsiTheme="minorHAnsi" w:cstheme="minorHAnsi"/>
        </w:rPr>
      </w:pPr>
    </w:p>
    <w:p w14:paraId="334694B7" w14:textId="77777777" w:rsidR="007335AF" w:rsidRDefault="007335AF" w:rsidP="007335AF">
      <w:pPr>
        <w:pStyle w:val="NormalWeb"/>
        <w:rPr>
          <w:rFonts w:asciiTheme="minorHAnsi" w:hAnsiTheme="minorHAnsi" w:cstheme="minorHAnsi"/>
        </w:rPr>
      </w:pPr>
    </w:p>
    <w:p w14:paraId="39B08149" w14:textId="77777777" w:rsidR="007335AF" w:rsidRDefault="007335AF" w:rsidP="007335AF">
      <w:pPr>
        <w:pStyle w:val="NormalWeb"/>
        <w:rPr>
          <w:rFonts w:asciiTheme="minorHAnsi" w:hAnsiTheme="minorHAnsi" w:cstheme="minorHAnsi"/>
        </w:rPr>
      </w:pPr>
    </w:p>
    <w:p w14:paraId="5314B709" w14:textId="77777777" w:rsidR="007335AF" w:rsidRDefault="007335AF" w:rsidP="007335AF">
      <w:pPr>
        <w:pStyle w:val="NormalWeb"/>
        <w:rPr>
          <w:rFonts w:asciiTheme="minorHAnsi" w:hAnsiTheme="minorHAnsi" w:cstheme="minorHAnsi"/>
        </w:rPr>
      </w:pPr>
    </w:p>
    <w:p w14:paraId="283A943F" w14:textId="77777777" w:rsidR="007335AF" w:rsidRDefault="007335AF">
      <w:pPr>
        <w:rPr>
          <w:rFonts w:eastAsia="Times New Roman" w:cstheme="minorHAnsi"/>
          <w:sz w:val="24"/>
          <w:szCs w:val="24"/>
        </w:rPr>
      </w:pPr>
      <w:r>
        <w:rPr>
          <w:rFonts w:cstheme="minorHAnsi"/>
        </w:rPr>
        <w:lastRenderedPageBreak/>
        <w:br w:type="page"/>
      </w:r>
    </w:p>
    <w:p w14:paraId="1EB01889" w14:textId="77777777" w:rsidR="007335AF" w:rsidRDefault="007335AF" w:rsidP="007335AF">
      <w:pPr>
        <w:pStyle w:val="NormalWeb"/>
        <w:rPr>
          <w:rFonts w:asciiTheme="minorHAnsi" w:hAnsiTheme="minorHAnsi" w:cstheme="minorHAnsi"/>
        </w:rPr>
      </w:pPr>
    </w:p>
    <w:p w14:paraId="6B6BF570" w14:textId="77777777" w:rsidR="007335AF" w:rsidRDefault="007335AF" w:rsidP="007335AF">
      <w:pPr>
        <w:pStyle w:val="NormalWeb"/>
        <w:rPr>
          <w:rFonts w:asciiTheme="minorHAnsi" w:hAnsiTheme="minorHAnsi" w:cstheme="minorHAnsi"/>
        </w:rPr>
      </w:pPr>
    </w:p>
    <w:p w14:paraId="64D91854" w14:textId="754AC9BE" w:rsidR="007335AF" w:rsidRPr="007335AF" w:rsidRDefault="007335AF" w:rsidP="007335AF">
      <w:pPr>
        <w:pStyle w:val="NormalWeb"/>
        <w:rPr>
          <w:rFonts w:asciiTheme="minorHAnsi" w:hAnsiTheme="minorHAnsi" w:cstheme="minorHAnsi"/>
        </w:rPr>
      </w:pPr>
      <w:r w:rsidRPr="007335AF">
        <w:rPr>
          <w:rFonts w:asciiTheme="minorHAnsi" w:hAnsiTheme="minorHAnsi" w:cstheme="minorHAnsi"/>
        </w:rPr>
        <w:t xml:space="preserve">Sir,—I traversed this day by steamboat the space between London and Hungerford Bridges, between half-past one and two o'clock. It was low water, and I think the tide must have been near the turn. The appearance and smell of the water forced themselves at once on my attention. The whole of the river was an opaque pale brown fluid. In order to test the degree of opacity, I tore up some white cards into pieces, and then moistened them, so as to make them sink easily below the surface, and then dropped some of these pieces into the water at every pier the boat came to. Before they had sunk an inch below the </w:t>
      </w:r>
      <w:r w:rsidR="003E7EBF" w:rsidRPr="007335AF">
        <w:rPr>
          <w:rFonts w:asciiTheme="minorHAnsi" w:hAnsiTheme="minorHAnsi" w:cstheme="minorHAnsi"/>
        </w:rPr>
        <w:t>surface,</w:t>
      </w:r>
      <w:r w:rsidRPr="007335AF">
        <w:rPr>
          <w:rFonts w:asciiTheme="minorHAnsi" w:hAnsiTheme="minorHAnsi" w:cstheme="minorHAnsi"/>
        </w:rPr>
        <w:t xml:space="preserve"> they were undistinguishable, though the sun shone brightly at the time, and when the pieces fell edgeways the lower part </w:t>
      </w:r>
      <w:proofErr w:type="gramStart"/>
      <w:r w:rsidRPr="007335AF">
        <w:rPr>
          <w:rFonts w:asciiTheme="minorHAnsi" w:hAnsiTheme="minorHAnsi" w:cstheme="minorHAnsi"/>
        </w:rPr>
        <w:t>was hidden</w:t>
      </w:r>
      <w:proofErr w:type="gramEnd"/>
      <w:r w:rsidRPr="007335AF">
        <w:rPr>
          <w:rFonts w:asciiTheme="minorHAnsi" w:hAnsiTheme="minorHAnsi" w:cstheme="minorHAnsi"/>
        </w:rPr>
        <w:t xml:space="preserve"> from sight before the upper part was under water.</w:t>
      </w:r>
    </w:p>
    <w:p w14:paraId="778735FD" w14:textId="77777777" w:rsidR="007335AF" w:rsidRPr="007335AF" w:rsidRDefault="007335AF" w:rsidP="007335AF">
      <w:pPr>
        <w:pStyle w:val="NormalWeb"/>
        <w:rPr>
          <w:rFonts w:asciiTheme="minorHAnsi" w:hAnsiTheme="minorHAnsi" w:cstheme="minorHAnsi"/>
        </w:rPr>
      </w:pPr>
      <w:r w:rsidRPr="007335AF">
        <w:rPr>
          <w:rFonts w:asciiTheme="minorHAnsi" w:hAnsiTheme="minorHAnsi" w:cstheme="minorHAnsi"/>
        </w:rPr>
        <w:t xml:space="preserve">This happened at St. Paul's Wharf, </w:t>
      </w:r>
      <w:proofErr w:type="spellStart"/>
      <w:r w:rsidRPr="007335AF">
        <w:rPr>
          <w:rFonts w:asciiTheme="minorHAnsi" w:hAnsiTheme="minorHAnsi" w:cstheme="minorHAnsi"/>
        </w:rPr>
        <w:t>Blackfriars</w:t>
      </w:r>
      <w:proofErr w:type="spellEnd"/>
      <w:r w:rsidRPr="007335AF">
        <w:rPr>
          <w:rFonts w:asciiTheme="minorHAnsi" w:hAnsiTheme="minorHAnsi" w:cstheme="minorHAnsi"/>
        </w:rPr>
        <w:t xml:space="preserve"> Bridge, Temple Wharf, Southwark Bridge, and Hungerford, and I have no doubt would have occurred further up and down the river. Near the bridges the feculence rolled up in clouds so dense that they were visible at the surface even in water of this kind.</w:t>
      </w:r>
    </w:p>
    <w:p w14:paraId="192F2532" w14:textId="77777777" w:rsidR="007335AF" w:rsidRPr="007335AF" w:rsidRDefault="007335AF" w:rsidP="007335AF">
      <w:pPr>
        <w:pStyle w:val="NormalWeb"/>
        <w:rPr>
          <w:rFonts w:asciiTheme="minorHAnsi" w:hAnsiTheme="minorHAnsi" w:cstheme="minorHAnsi"/>
        </w:rPr>
      </w:pPr>
      <w:r w:rsidRPr="007335AF">
        <w:rPr>
          <w:rFonts w:asciiTheme="minorHAnsi" w:hAnsiTheme="minorHAnsi" w:cstheme="minorHAnsi"/>
        </w:rPr>
        <w:t>The smell was very bad, and common to the whole of the water. It was the same as that which now comes up from the gully holes in the streets. The whole river was for the time a real sewer. Having just returned from the country air, I was perhaps more affected by it than others; but I do not think that I could have gone on to Lambeth or Chelsea, and I was glad to enter the streets for an atmosphere which, except near the sink-holes, I found much sweeter than on the river.</w:t>
      </w:r>
    </w:p>
    <w:p w14:paraId="40B2B36D" w14:textId="77777777" w:rsidR="007335AF" w:rsidRPr="007335AF" w:rsidRDefault="007335AF" w:rsidP="007335AF">
      <w:pPr>
        <w:pStyle w:val="NormalWeb"/>
        <w:rPr>
          <w:rFonts w:asciiTheme="minorHAnsi" w:hAnsiTheme="minorHAnsi" w:cstheme="minorHAnsi"/>
        </w:rPr>
      </w:pPr>
      <w:r w:rsidRPr="007335AF">
        <w:rPr>
          <w:rFonts w:asciiTheme="minorHAnsi" w:hAnsiTheme="minorHAnsi" w:cstheme="minorHAnsi"/>
        </w:rPr>
        <w:t xml:space="preserve">I have thought it a duty to record these </w:t>
      </w:r>
      <w:proofErr w:type="gramStart"/>
      <w:r w:rsidRPr="007335AF">
        <w:rPr>
          <w:rFonts w:asciiTheme="minorHAnsi" w:hAnsiTheme="minorHAnsi" w:cstheme="minorHAnsi"/>
        </w:rPr>
        <w:t>facts, that</w:t>
      </w:r>
      <w:proofErr w:type="gramEnd"/>
      <w:r w:rsidRPr="007335AF">
        <w:rPr>
          <w:rFonts w:asciiTheme="minorHAnsi" w:hAnsiTheme="minorHAnsi" w:cstheme="minorHAnsi"/>
        </w:rPr>
        <w:t xml:space="preserve"> they may be brought to the attention of those who exercise power, or have responsibility in relation to the condition of our </w:t>
      </w:r>
      <w:r w:rsidRPr="007335AF">
        <w:rPr>
          <w:rFonts w:asciiTheme="minorHAnsi" w:hAnsiTheme="minorHAnsi" w:cstheme="minorHAnsi"/>
        </w:rPr>
        <w:lastRenderedPageBreak/>
        <w:t>river. There is nothing figurative in the words I have employed, or any approach to exaggeration. They are the simple truth.</w:t>
      </w:r>
    </w:p>
    <w:p w14:paraId="229A2248" w14:textId="77777777" w:rsidR="007335AF" w:rsidRPr="007335AF" w:rsidRDefault="007335AF" w:rsidP="007335AF">
      <w:pPr>
        <w:pStyle w:val="NormalWeb"/>
        <w:rPr>
          <w:rFonts w:asciiTheme="minorHAnsi" w:hAnsiTheme="minorHAnsi" w:cstheme="minorHAnsi"/>
        </w:rPr>
      </w:pPr>
      <w:r w:rsidRPr="007335AF">
        <w:rPr>
          <w:rFonts w:asciiTheme="minorHAnsi" w:hAnsiTheme="minorHAnsi" w:cstheme="minorHAnsi"/>
        </w:rPr>
        <w:t xml:space="preserve">If there </w:t>
      </w:r>
      <w:proofErr w:type="gramStart"/>
      <w:r w:rsidRPr="007335AF">
        <w:rPr>
          <w:rFonts w:asciiTheme="minorHAnsi" w:hAnsiTheme="minorHAnsi" w:cstheme="minorHAnsi"/>
        </w:rPr>
        <w:t>be</w:t>
      </w:r>
      <w:proofErr w:type="gramEnd"/>
      <w:r w:rsidRPr="007335AF">
        <w:rPr>
          <w:rFonts w:asciiTheme="minorHAnsi" w:hAnsiTheme="minorHAnsi" w:cstheme="minorHAnsi"/>
        </w:rPr>
        <w:t xml:space="preserve"> sufficient authority to remove a putrescent pond from the </w:t>
      </w:r>
      <w:proofErr w:type="spellStart"/>
      <w:r w:rsidRPr="007335AF">
        <w:rPr>
          <w:rFonts w:asciiTheme="minorHAnsi" w:hAnsiTheme="minorHAnsi" w:cstheme="minorHAnsi"/>
        </w:rPr>
        <w:t>neighbourhood</w:t>
      </w:r>
      <w:proofErr w:type="spellEnd"/>
      <w:r w:rsidRPr="007335AF">
        <w:rPr>
          <w:rFonts w:asciiTheme="minorHAnsi" w:hAnsiTheme="minorHAnsi" w:cstheme="minorHAnsi"/>
        </w:rPr>
        <w:t xml:space="preserve"> of a few simple dwellings, surely the river which flows for so many miles through London ought not to be allowed to become a fermenting sewer. The condition in which I saw the Thames may perhaps be considered as exceptional, but it ought to be an impossible state; instead of which, I fear it is rapidly becoming the general condition. If we neglect this subject, we cannot expect to do so with impunity; nor ought we to be surprised if, ere many years are over, a season give us sad proof of the folly of our carelessness.</w:t>
      </w:r>
    </w:p>
    <w:p w14:paraId="0E21FB27" w14:textId="77777777" w:rsidR="007335AF" w:rsidRPr="007335AF" w:rsidRDefault="007335AF" w:rsidP="007335AF">
      <w:pPr>
        <w:pStyle w:val="NormalWeb"/>
        <w:rPr>
          <w:rFonts w:asciiTheme="minorHAnsi" w:hAnsiTheme="minorHAnsi" w:cstheme="minorHAnsi"/>
        </w:rPr>
      </w:pPr>
      <w:r w:rsidRPr="007335AF">
        <w:rPr>
          <w:rFonts w:asciiTheme="minorHAnsi" w:hAnsiTheme="minorHAnsi" w:cstheme="minorHAnsi"/>
        </w:rPr>
        <w:t>I am, Sir, your obedient servant,</w:t>
      </w:r>
    </w:p>
    <w:p w14:paraId="48ACB639" w14:textId="7FFC8937" w:rsidR="007335AF" w:rsidRDefault="007335AF" w:rsidP="007335AF">
      <w:pPr>
        <w:pStyle w:val="NormalWeb"/>
        <w:rPr>
          <w:rFonts w:asciiTheme="minorHAnsi" w:hAnsiTheme="minorHAnsi" w:cstheme="minorHAnsi"/>
        </w:rPr>
      </w:pPr>
      <w:r w:rsidRPr="007335AF">
        <w:rPr>
          <w:rFonts w:asciiTheme="minorHAnsi" w:hAnsiTheme="minorHAnsi" w:cstheme="minorHAnsi"/>
        </w:rPr>
        <w:t>M. Faraday</w:t>
      </w:r>
    </w:p>
    <w:p w14:paraId="1629068F" w14:textId="742E7FF2" w:rsidR="00583C9C" w:rsidRPr="007335AF" w:rsidRDefault="00583C9C" w:rsidP="007335AF">
      <w:pPr>
        <w:pStyle w:val="NormalWeb"/>
        <w:rPr>
          <w:rFonts w:asciiTheme="minorHAnsi" w:hAnsiTheme="minorHAnsi" w:cstheme="minorHAnsi"/>
        </w:rPr>
      </w:pPr>
      <w:r>
        <w:rPr>
          <w:rFonts w:asciiTheme="minorHAnsi" w:hAnsiTheme="minorHAnsi" w:cstheme="minorHAnsi"/>
        </w:rPr>
        <w:t>_____________________________________________________________________________</w:t>
      </w:r>
    </w:p>
    <w:p w14:paraId="24D7853F" w14:textId="32C58D79" w:rsidR="00B119E6" w:rsidRDefault="00583C9C" w:rsidP="007335AF">
      <w:pPr>
        <w:spacing w:after="0" w:line="240" w:lineRule="auto"/>
        <w:rPr>
          <w:i/>
        </w:rPr>
      </w:pPr>
      <w:r w:rsidRPr="00583C9C">
        <w:rPr>
          <w:i/>
        </w:rPr>
        <w:t>Use both articles and the video to compare both examples of pollution and impacts of pollution on society.</w:t>
      </w:r>
      <w:r>
        <w:rPr>
          <w:i/>
        </w:rPr>
        <w:t xml:space="preserve"> Be sure to use the Pillars of Historical Thinking when completing your response</w:t>
      </w:r>
      <w:r w:rsidR="003E7EBF">
        <w:rPr>
          <w:i/>
        </w:rPr>
        <w:t>s.</w:t>
      </w:r>
    </w:p>
    <w:p w14:paraId="5FD1358B" w14:textId="7800067C" w:rsidR="003E7EBF" w:rsidRDefault="003E7EBF" w:rsidP="007335AF">
      <w:pPr>
        <w:spacing w:after="0" w:line="240" w:lineRule="auto"/>
        <w:rPr>
          <w:i/>
        </w:rPr>
      </w:pPr>
    </w:p>
    <w:tbl>
      <w:tblPr>
        <w:tblStyle w:val="TableGrid"/>
        <w:tblW w:w="0" w:type="auto"/>
        <w:tblLook w:val="04A0" w:firstRow="1" w:lastRow="0" w:firstColumn="1" w:lastColumn="0" w:noHBand="0" w:noVBand="1"/>
      </w:tblPr>
      <w:tblGrid>
        <w:gridCol w:w="2954"/>
        <w:gridCol w:w="3441"/>
        <w:gridCol w:w="2955"/>
      </w:tblGrid>
      <w:tr w:rsidR="003E7EBF" w14:paraId="753ED281" w14:textId="77777777" w:rsidTr="00815902">
        <w:tc>
          <w:tcPr>
            <w:tcW w:w="2954" w:type="dxa"/>
          </w:tcPr>
          <w:p w14:paraId="5ED1E4CB" w14:textId="778E6E5A" w:rsidR="003E7EBF" w:rsidRPr="00C05ABB" w:rsidRDefault="006041E7" w:rsidP="00C05ABB">
            <w:pPr>
              <w:jc w:val="center"/>
              <w:rPr>
                <w:rFonts w:asciiTheme="majorHAnsi" w:hAnsiTheme="majorHAnsi" w:cstheme="majorHAnsi"/>
                <w:b/>
                <w:i/>
              </w:rPr>
            </w:pPr>
            <w:r w:rsidRPr="00C05ABB">
              <w:rPr>
                <w:rFonts w:asciiTheme="majorHAnsi" w:hAnsiTheme="majorHAnsi" w:cstheme="majorHAnsi"/>
                <w:b/>
                <w:i/>
              </w:rPr>
              <w:t>Below Expectations</w:t>
            </w:r>
          </w:p>
        </w:tc>
        <w:tc>
          <w:tcPr>
            <w:tcW w:w="3441" w:type="dxa"/>
          </w:tcPr>
          <w:p w14:paraId="35431D1C" w14:textId="19942061" w:rsidR="003E7EBF" w:rsidRPr="00C05ABB" w:rsidRDefault="006041E7" w:rsidP="00C05ABB">
            <w:pPr>
              <w:jc w:val="center"/>
              <w:rPr>
                <w:rFonts w:asciiTheme="majorHAnsi" w:hAnsiTheme="majorHAnsi" w:cstheme="majorHAnsi"/>
                <w:b/>
                <w:i/>
              </w:rPr>
            </w:pPr>
            <w:r w:rsidRPr="00C05ABB">
              <w:rPr>
                <w:rFonts w:asciiTheme="majorHAnsi" w:hAnsiTheme="majorHAnsi" w:cstheme="majorHAnsi"/>
                <w:b/>
                <w:i/>
              </w:rPr>
              <w:t>Meeting Expectations</w:t>
            </w:r>
          </w:p>
        </w:tc>
        <w:tc>
          <w:tcPr>
            <w:tcW w:w="2955" w:type="dxa"/>
          </w:tcPr>
          <w:p w14:paraId="6AC07B15" w14:textId="2A7A0661" w:rsidR="003E7EBF" w:rsidRPr="00C05ABB" w:rsidRDefault="006041E7" w:rsidP="00C05ABB">
            <w:pPr>
              <w:jc w:val="center"/>
              <w:rPr>
                <w:rFonts w:asciiTheme="majorHAnsi" w:hAnsiTheme="majorHAnsi" w:cstheme="majorHAnsi"/>
                <w:b/>
                <w:i/>
              </w:rPr>
            </w:pPr>
            <w:r w:rsidRPr="00C05ABB">
              <w:rPr>
                <w:rFonts w:asciiTheme="majorHAnsi" w:hAnsiTheme="majorHAnsi" w:cstheme="majorHAnsi"/>
                <w:b/>
                <w:i/>
              </w:rPr>
              <w:t>Exceeding Expectations</w:t>
            </w:r>
          </w:p>
        </w:tc>
      </w:tr>
      <w:tr w:rsidR="003E7EBF" w14:paraId="3E2E190B" w14:textId="77777777" w:rsidTr="00815902">
        <w:tc>
          <w:tcPr>
            <w:tcW w:w="2954" w:type="dxa"/>
          </w:tcPr>
          <w:p w14:paraId="061EA510" w14:textId="77777777" w:rsidR="003E7EBF" w:rsidRPr="00C05ABB" w:rsidRDefault="003E7EBF" w:rsidP="007335AF">
            <w:pPr>
              <w:rPr>
                <w:rFonts w:asciiTheme="majorHAnsi" w:hAnsiTheme="majorHAnsi" w:cstheme="majorHAnsi"/>
                <w:i/>
              </w:rPr>
            </w:pPr>
          </w:p>
        </w:tc>
        <w:tc>
          <w:tcPr>
            <w:tcW w:w="3441" w:type="dxa"/>
          </w:tcPr>
          <w:p w14:paraId="31999FE2" w14:textId="58F24FCB" w:rsidR="003E7EBF" w:rsidRPr="00C05ABB" w:rsidRDefault="003E7EBF" w:rsidP="00C05ABB">
            <w:pPr>
              <w:jc w:val="center"/>
              <w:rPr>
                <w:rFonts w:asciiTheme="majorHAnsi" w:hAnsiTheme="majorHAnsi" w:cstheme="majorHAnsi"/>
                <w:b/>
                <w:i/>
              </w:rPr>
            </w:pPr>
            <w:r w:rsidRPr="00C05ABB">
              <w:rPr>
                <w:rFonts w:asciiTheme="majorHAnsi" w:hAnsiTheme="majorHAnsi" w:cstheme="majorHAnsi"/>
                <w:b/>
                <w:i/>
              </w:rPr>
              <w:t>Content</w:t>
            </w:r>
            <w:r w:rsidR="006041E7" w:rsidRPr="00C05ABB">
              <w:rPr>
                <w:rFonts w:asciiTheme="majorHAnsi" w:hAnsiTheme="majorHAnsi" w:cstheme="majorHAnsi"/>
                <w:b/>
                <w:i/>
              </w:rPr>
              <w:t xml:space="preserve"> and Comparison</w:t>
            </w:r>
          </w:p>
          <w:p w14:paraId="62EBF67C" w14:textId="343F3886" w:rsidR="006041E7" w:rsidRPr="00815902" w:rsidRDefault="006041E7" w:rsidP="007335AF">
            <w:pPr>
              <w:rPr>
                <w:rFonts w:asciiTheme="majorHAnsi" w:hAnsiTheme="majorHAnsi" w:cstheme="majorHAnsi"/>
                <w:sz w:val="18"/>
                <w:szCs w:val="18"/>
              </w:rPr>
            </w:pPr>
            <w:proofErr w:type="gramStart"/>
            <w:r w:rsidRPr="00815902">
              <w:rPr>
                <w:rFonts w:asciiTheme="majorHAnsi" w:hAnsiTheme="majorHAnsi" w:cstheme="majorHAnsi"/>
                <w:sz w:val="18"/>
                <w:szCs w:val="18"/>
              </w:rPr>
              <w:t>Students are using at least 3 comparisons between the articles that are insightful but lacks complexity</w:t>
            </w:r>
            <w:r w:rsidR="00815902" w:rsidRPr="00815902">
              <w:rPr>
                <w:rFonts w:asciiTheme="majorHAnsi" w:hAnsiTheme="majorHAnsi" w:cstheme="majorHAnsi"/>
                <w:sz w:val="18"/>
                <w:szCs w:val="18"/>
              </w:rPr>
              <w:t>.</w:t>
            </w:r>
            <w:proofErr w:type="gramEnd"/>
          </w:p>
          <w:p w14:paraId="79D65829" w14:textId="77777777" w:rsidR="003E7EBF" w:rsidRPr="00C05ABB" w:rsidRDefault="003E7EBF" w:rsidP="007335AF">
            <w:pPr>
              <w:rPr>
                <w:rFonts w:asciiTheme="majorHAnsi" w:hAnsiTheme="majorHAnsi" w:cstheme="majorHAnsi"/>
                <w:i/>
              </w:rPr>
            </w:pPr>
          </w:p>
          <w:p w14:paraId="60AF1693" w14:textId="2E2C7020" w:rsidR="006041E7" w:rsidRPr="00C05ABB" w:rsidRDefault="006041E7" w:rsidP="007335AF">
            <w:pPr>
              <w:rPr>
                <w:rFonts w:asciiTheme="majorHAnsi" w:hAnsiTheme="majorHAnsi" w:cstheme="majorHAnsi"/>
                <w:i/>
              </w:rPr>
            </w:pPr>
            <w:bookmarkStart w:id="0" w:name="_GoBack"/>
            <w:bookmarkEnd w:id="0"/>
          </w:p>
        </w:tc>
        <w:tc>
          <w:tcPr>
            <w:tcW w:w="2955" w:type="dxa"/>
          </w:tcPr>
          <w:p w14:paraId="3801F559" w14:textId="77777777" w:rsidR="003E7EBF" w:rsidRPr="00C05ABB" w:rsidRDefault="003E7EBF" w:rsidP="007335AF">
            <w:pPr>
              <w:rPr>
                <w:rFonts w:asciiTheme="majorHAnsi" w:hAnsiTheme="majorHAnsi" w:cstheme="majorHAnsi"/>
                <w:i/>
              </w:rPr>
            </w:pPr>
          </w:p>
        </w:tc>
      </w:tr>
      <w:tr w:rsidR="003E7EBF" w14:paraId="7F0442CD" w14:textId="77777777" w:rsidTr="00815902">
        <w:tc>
          <w:tcPr>
            <w:tcW w:w="2954" w:type="dxa"/>
          </w:tcPr>
          <w:p w14:paraId="0983A04E" w14:textId="77777777" w:rsidR="003E7EBF" w:rsidRPr="00C05ABB" w:rsidRDefault="003E7EBF" w:rsidP="007335AF">
            <w:pPr>
              <w:rPr>
                <w:rFonts w:asciiTheme="majorHAnsi" w:hAnsiTheme="majorHAnsi" w:cstheme="majorHAnsi"/>
                <w:i/>
              </w:rPr>
            </w:pPr>
          </w:p>
        </w:tc>
        <w:tc>
          <w:tcPr>
            <w:tcW w:w="3441" w:type="dxa"/>
          </w:tcPr>
          <w:p w14:paraId="601CA0D4" w14:textId="7CAD8584" w:rsidR="006041E7" w:rsidRPr="00C05ABB" w:rsidRDefault="006041E7" w:rsidP="007335AF">
            <w:pPr>
              <w:rPr>
                <w:rFonts w:asciiTheme="majorHAnsi" w:hAnsiTheme="majorHAnsi" w:cstheme="majorHAnsi"/>
                <w:b/>
                <w:i/>
              </w:rPr>
            </w:pPr>
            <w:r w:rsidRPr="00C05ABB">
              <w:rPr>
                <w:rFonts w:asciiTheme="majorHAnsi" w:hAnsiTheme="majorHAnsi" w:cstheme="majorHAnsi"/>
                <w:b/>
                <w:i/>
              </w:rPr>
              <w:t>Use of Historical Thinking Concepts</w:t>
            </w:r>
          </w:p>
          <w:p w14:paraId="54E66685" w14:textId="4CB7F356" w:rsidR="003E7EBF" w:rsidRPr="00815902" w:rsidRDefault="00815902" w:rsidP="007335AF">
            <w:pPr>
              <w:rPr>
                <w:rFonts w:asciiTheme="majorHAnsi" w:hAnsiTheme="majorHAnsi" w:cstheme="majorHAnsi"/>
                <w:i/>
                <w:sz w:val="18"/>
                <w:szCs w:val="18"/>
              </w:rPr>
            </w:pPr>
            <w:r w:rsidRPr="00815902">
              <w:rPr>
                <w:rFonts w:asciiTheme="majorHAnsi" w:hAnsiTheme="majorHAnsi" w:cstheme="majorHAnsi"/>
                <w:sz w:val="18"/>
                <w:szCs w:val="18"/>
              </w:rPr>
              <w:t xml:space="preserve">The paper contain elements that show understanding </w:t>
            </w:r>
            <w:r w:rsidRPr="00815902">
              <w:rPr>
                <w:rFonts w:asciiTheme="majorHAnsi" w:hAnsiTheme="majorHAnsi" w:cstheme="majorHAnsi"/>
                <w:sz w:val="18"/>
                <w:szCs w:val="18"/>
              </w:rPr>
              <w:t>of the larger topic, the time-pe</w:t>
            </w:r>
            <w:r w:rsidRPr="00815902">
              <w:rPr>
                <w:rFonts w:asciiTheme="majorHAnsi" w:hAnsiTheme="majorHAnsi" w:cstheme="majorHAnsi"/>
                <w:sz w:val="18"/>
                <w:szCs w:val="18"/>
              </w:rPr>
              <w:t xml:space="preserve">riod and source of information. The reader </w:t>
            </w:r>
            <w:proofErr w:type="gramStart"/>
            <w:r w:rsidRPr="00815902">
              <w:rPr>
                <w:rFonts w:asciiTheme="majorHAnsi" w:hAnsiTheme="majorHAnsi" w:cstheme="majorHAnsi"/>
                <w:sz w:val="18"/>
                <w:szCs w:val="18"/>
              </w:rPr>
              <w:t>would be quite informed</w:t>
            </w:r>
            <w:proofErr w:type="gramEnd"/>
            <w:r w:rsidRPr="00815902">
              <w:rPr>
                <w:rFonts w:asciiTheme="majorHAnsi" w:hAnsiTheme="majorHAnsi" w:cstheme="majorHAnsi"/>
                <w:sz w:val="18"/>
                <w:szCs w:val="18"/>
              </w:rPr>
              <w:t xml:space="preserve"> of the overall topic but may be left with questions. There is evi</w:t>
            </w:r>
            <w:r w:rsidRPr="00815902">
              <w:rPr>
                <w:rFonts w:asciiTheme="majorHAnsi" w:hAnsiTheme="majorHAnsi" w:cstheme="majorHAnsi"/>
                <w:sz w:val="18"/>
                <w:szCs w:val="18"/>
              </w:rPr>
              <w:t>dence of referring to at least 2</w:t>
            </w:r>
            <w:r w:rsidRPr="00815902">
              <w:rPr>
                <w:rFonts w:asciiTheme="majorHAnsi" w:hAnsiTheme="majorHAnsi" w:cstheme="majorHAnsi"/>
                <w:sz w:val="18"/>
                <w:szCs w:val="18"/>
              </w:rPr>
              <w:t xml:space="preserve"> Historical Thinking Concept.</w:t>
            </w:r>
          </w:p>
          <w:p w14:paraId="19A973A1" w14:textId="2F01033F" w:rsidR="006041E7" w:rsidRPr="00C05ABB" w:rsidRDefault="006041E7" w:rsidP="007335AF">
            <w:pPr>
              <w:rPr>
                <w:rFonts w:asciiTheme="majorHAnsi" w:hAnsiTheme="majorHAnsi" w:cstheme="majorHAnsi"/>
                <w:i/>
              </w:rPr>
            </w:pPr>
          </w:p>
        </w:tc>
        <w:tc>
          <w:tcPr>
            <w:tcW w:w="2955" w:type="dxa"/>
          </w:tcPr>
          <w:p w14:paraId="14C5B02C" w14:textId="77777777" w:rsidR="003E7EBF" w:rsidRPr="00C05ABB" w:rsidRDefault="003E7EBF" w:rsidP="007335AF">
            <w:pPr>
              <w:rPr>
                <w:rFonts w:asciiTheme="majorHAnsi" w:hAnsiTheme="majorHAnsi" w:cstheme="majorHAnsi"/>
                <w:i/>
              </w:rPr>
            </w:pPr>
          </w:p>
        </w:tc>
      </w:tr>
      <w:tr w:rsidR="003E7EBF" w14:paraId="4A07C632" w14:textId="77777777" w:rsidTr="00815902">
        <w:tc>
          <w:tcPr>
            <w:tcW w:w="2954" w:type="dxa"/>
          </w:tcPr>
          <w:p w14:paraId="6183A2DD" w14:textId="77777777" w:rsidR="003E7EBF" w:rsidRPr="00C05ABB" w:rsidRDefault="003E7EBF" w:rsidP="007335AF">
            <w:pPr>
              <w:rPr>
                <w:rFonts w:asciiTheme="majorHAnsi" w:hAnsiTheme="majorHAnsi" w:cstheme="majorHAnsi"/>
                <w:i/>
              </w:rPr>
            </w:pPr>
          </w:p>
        </w:tc>
        <w:tc>
          <w:tcPr>
            <w:tcW w:w="3441" w:type="dxa"/>
          </w:tcPr>
          <w:p w14:paraId="1F66EB2C" w14:textId="219953F1" w:rsidR="003E7EBF" w:rsidRPr="00C05ABB" w:rsidRDefault="003E7EBF" w:rsidP="007335AF">
            <w:pPr>
              <w:rPr>
                <w:rFonts w:asciiTheme="majorHAnsi" w:hAnsiTheme="majorHAnsi" w:cstheme="majorHAnsi"/>
                <w:b/>
                <w:i/>
              </w:rPr>
            </w:pPr>
            <w:r w:rsidRPr="00C05ABB">
              <w:rPr>
                <w:rFonts w:asciiTheme="majorHAnsi" w:hAnsiTheme="majorHAnsi" w:cstheme="majorHAnsi"/>
                <w:b/>
                <w:i/>
              </w:rPr>
              <w:t>Grammar/Punctuation/Organization</w:t>
            </w:r>
          </w:p>
          <w:p w14:paraId="3C2CE972" w14:textId="2C87D95D" w:rsidR="00C05ABB" w:rsidRPr="00C05ABB" w:rsidRDefault="00C05ABB" w:rsidP="00C05ABB">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Student u</w:t>
            </w:r>
            <w:r w:rsidRPr="00C05ABB">
              <w:rPr>
                <w:rFonts w:asciiTheme="majorHAnsi" w:hAnsiTheme="majorHAnsi" w:cstheme="majorHAnsi"/>
                <w:sz w:val="18"/>
                <w:szCs w:val="18"/>
              </w:rPr>
              <w:t>se</w:t>
            </w:r>
            <w:r>
              <w:rPr>
                <w:rFonts w:asciiTheme="majorHAnsi" w:hAnsiTheme="majorHAnsi" w:cstheme="majorHAnsi"/>
                <w:sz w:val="18"/>
                <w:szCs w:val="18"/>
              </w:rPr>
              <w:t xml:space="preserve">s straightforward language that </w:t>
            </w:r>
            <w:r w:rsidRPr="00C05ABB">
              <w:rPr>
                <w:rFonts w:asciiTheme="majorHAnsi" w:hAnsiTheme="majorHAnsi" w:cstheme="majorHAnsi"/>
                <w:sz w:val="18"/>
                <w:szCs w:val="18"/>
              </w:rPr>
              <w:t>generally conveys meaning to readers.</w:t>
            </w:r>
          </w:p>
          <w:p w14:paraId="323E12EB" w14:textId="7C10A3F8" w:rsidR="003E7EBF" w:rsidRPr="00C05ABB" w:rsidRDefault="00C05ABB" w:rsidP="00C05ABB">
            <w:pPr>
              <w:rPr>
                <w:rFonts w:asciiTheme="majorHAnsi" w:hAnsiTheme="majorHAnsi" w:cstheme="majorHAnsi"/>
                <w:i/>
              </w:rPr>
            </w:pPr>
            <w:r>
              <w:rPr>
                <w:rFonts w:asciiTheme="majorHAnsi" w:hAnsiTheme="majorHAnsi" w:cstheme="majorHAnsi"/>
                <w:sz w:val="18"/>
                <w:szCs w:val="18"/>
              </w:rPr>
              <w:t>There are a maximum of 3</w:t>
            </w:r>
            <w:r w:rsidRPr="00C05ABB">
              <w:rPr>
                <w:rFonts w:asciiTheme="majorHAnsi" w:hAnsiTheme="majorHAnsi" w:cstheme="majorHAnsi"/>
                <w:sz w:val="18"/>
                <w:szCs w:val="18"/>
              </w:rPr>
              <w:t xml:space="preserve"> errors</w:t>
            </w:r>
            <w:r>
              <w:rPr>
                <w:rFonts w:ascii="Helvetica" w:hAnsi="Helvetica" w:cs="Helvetica"/>
                <w:sz w:val="18"/>
                <w:szCs w:val="18"/>
              </w:rPr>
              <w:t>.</w:t>
            </w:r>
            <w:r w:rsidR="00815902">
              <w:rPr>
                <w:rFonts w:ascii="Helvetica" w:hAnsi="Helvetica" w:cs="Helvetica"/>
                <w:sz w:val="18"/>
                <w:szCs w:val="18"/>
              </w:rPr>
              <w:t xml:space="preserve"> </w:t>
            </w:r>
            <w:r w:rsidR="00815902" w:rsidRPr="00815902">
              <w:rPr>
                <w:rFonts w:asciiTheme="majorHAnsi" w:hAnsiTheme="majorHAnsi" w:cstheme="majorHAnsi"/>
                <w:sz w:val="20"/>
                <w:szCs w:val="20"/>
              </w:rPr>
              <w:t>Some minor editing and refining would be useful.</w:t>
            </w:r>
          </w:p>
          <w:p w14:paraId="120BE3CF" w14:textId="25F7E5F8" w:rsidR="006041E7" w:rsidRPr="00C05ABB" w:rsidRDefault="006041E7" w:rsidP="007335AF">
            <w:pPr>
              <w:rPr>
                <w:rFonts w:asciiTheme="majorHAnsi" w:hAnsiTheme="majorHAnsi" w:cstheme="majorHAnsi"/>
                <w:i/>
              </w:rPr>
            </w:pPr>
          </w:p>
        </w:tc>
        <w:tc>
          <w:tcPr>
            <w:tcW w:w="2955" w:type="dxa"/>
          </w:tcPr>
          <w:p w14:paraId="6D2F48C6" w14:textId="77777777" w:rsidR="003E7EBF" w:rsidRPr="00C05ABB" w:rsidRDefault="003E7EBF" w:rsidP="007335AF">
            <w:pPr>
              <w:rPr>
                <w:rFonts w:asciiTheme="majorHAnsi" w:hAnsiTheme="majorHAnsi" w:cstheme="majorHAnsi"/>
                <w:i/>
              </w:rPr>
            </w:pPr>
          </w:p>
        </w:tc>
      </w:tr>
      <w:tr w:rsidR="00815902" w14:paraId="4364C53C" w14:textId="77777777" w:rsidTr="00815902">
        <w:tc>
          <w:tcPr>
            <w:tcW w:w="2954" w:type="dxa"/>
          </w:tcPr>
          <w:p w14:paraId="3F2AB178" w14:textId="77777777" w:rsidR="00815902" w:rsidRDefault="00815902" w:rsidP="00815902">
            <w:pPr>
              <w:widowControl w:val="0"/>
              <w:jc w:val="center"/>
            </w:pPr>
            <w:r>
              <w:rPr>
                <w:rFonts w:ascii="Calibri" w:eastAsia="Calibri" w:hAnsi="Calibri" w:cs="Calibri"/>
                <w:b/>
                <w:sz w:val="20"/>
                <w:szCs w:val="20"/>
              </w:rPr>
              <w:t>C &amp; D Range</w:t>
            </w:r>
          </w:p>
          <w:p w14:paraId="62D90321" w14:textId="63E72008" w:rsidR="00815902" w:rsidRPr="00C05ABB" w:rsidRDefault="00815902" w:rsidP="00815902">
            <w:pPr>
              <w:jc w:val="center"/>
              <w:rPr>
                <w:rFonts w:asciiTheme="majorHAnsi" w:hAnsiTheme="majorHAnsi" w:cstheme="majorHAnsi"/>
                <w:i/>
              </w:rPr>
            </w:pPr>
            <w:r>
              <w:rPr>
                <w:rFonts w:ascii="Calibri" w:eastAsia="Calibri" w:hAnsi="Calibri" w:cs="Calibri"/>
                <w:b/>
                <w:sz w:val="20"/>
                <w:szCs w:val="20"/>
              </w:rPr>
              <w:t>(50%-70%)</w:t>
            </w:r>
          </w:p>
        </w:tc>
        <w:tc>
          <w:tcPr>
            <w:tcW w:w="3441" w:type="dxa"/>
          </w:tcPr>
          <w:p w14:paraId="34C4D223" w14:textId="77777777" w:rsidR="00815902" w:rsidRDefault="00815902" w:rsidP="00815902">
            <w:pPr>
              <w:widowControl w:val="0"/>
              <w:jc w:val="center"/>
            </w:pPr>
            <w:r>
              <w:rPr>
                <w:rFonts w:ascii="Calibri" w:eastAsia="Calibri" w:hAnsi="Calibri" w:cs="Calibri"/>
                <w:b/>
                <w:sz w:val="20"/>
                <w:szCs w:val="20"/>
              </w:rPr>
              <w:t>B Range</w:t>
            </w:r>
          </w:p>
          <w:p w14:paraId="3A59E85F" w14:textId="7DBE4C86" w:rsidR="00815902" w:rsidRPr="00C05ABB" w:rsidRDefault="00815902" w:rsidP="00815902">
            <w:pPr>
              <w:jc w:val="center"/>
              <w:rPr>
                <w:rFonts w:asciiTheme="majorHAnsi" w:hAnsiTheme="majorHAnsi" w:cstheme="majorHAnsi"/>
                <w:b/>
                <w:i/>
              </w:rPr>
            </w:pPr>
            <w:r>
              <w:rPr>
                <w:rFonts w:ascii="Calibri" w:eastAsia="Calibri" w:hAnsi="Calibri" w:cs="Calibri"/>
                <w:b/>
                <w:sz w:val="20"/>
                <w:szCs w:val="20"/>
              </w:rPr>
              <w:t>(75%-85%)</w:t>
            </w:r>
          </w:p>
        </w:tc>
        <w:tc>
          <w:tcPr>
            <w:tcW w:w="2955" w:type="dxa"/>
          </w:tcPr>
          <w:p w14:paraId="088A9949" w14:textId="77777777" w:rsidR="00815902" w:rsidRDefault="00815902" w:rsidP="00815902">
            <w:pPr>
              <w:widowControl w:val="0"/>
              <w:jc w:val="center"/>
            </w:pPr>
            <w:r>
              <w:rPr>
                <w:rFonts w:ascii="Calibri" w:eastAsia="Calibri" w:hAnsi="Calibri" w:cs="Calibri"/>
                <w:b/>
                <w:sz w:val="20"/>
                <w:szCs w:val="20"/>
              </w:rPr>
              <w:t>A Range</w:t>
            </w:r>
          </w:p>
          <w:p w14:paraId="2634671F" w14:textId="48272883" w:rsidR="00815902" w:rsidRPr="00C05ABB" w:rsidRDefault="00815902" w:rsidP="00815902">
            <w:pPr>
              <w:jc w:val="center"/>
              <w:rPr>
                <w:rFonts w:asciiTheme="majorHAnsi" w:hAnsiTheme="majorHAnsi" w:cstheme="majorHAnsi"/>
                <w:i/>
              </w:rPr>
            </w:pPr>
            <w:r>
              <w:rPr>
                <w:rFonts w:ascii="Calibri" w:eastAsia="Calibri" w:hAnsi="Calibri" w:cs="Calibri"/>
                <w:b/>
                <w:sz w:val="20"/>
                <w:szCs w:val="20"/>
              </w:rPr>
              <w:t>(90%-100%)</w:t>
            </w:r>
          </w:p>
        </w:tc>
      </w:tr>
    </w:tbl>
    <w:p w14:paraId="3405BFF4" w14:textId="01F0297E" w:rsidR="003E7EBF" w:rsidRPr="00583C9C" w:rsidRDefault="00C05ABB" w:rsidP="007335AF">
      <w:pPr>
        <w:spacing w:after="0" w:line="240" w:lineRule="auto"/>
        <w:rPr>
          <w:i/>
        </w:rPr>
      </w:pPr>
      <w:r>
        <w:rPr>
          <w:i/>
        </w:rPr>
        <w:t xml:space="preserve"> </w:t>
      </w:r>
    </w:p>
    <w:sectPr w:rsidR="003E7EBF" w:rsidRPr="00583C9C" w:rsidSect="007335AF">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AF"/>
    <w:rsid w:val="003E7EBF"/>
    <w:rsid w:val="00583C9C"/>
    <w:rsid w:val="006041E7"/>
    <w:rsid w:val="007335AF"/>
    <w:rsid w:val="00815902"/>
    <w:rsid w:val="00AB0E65"/>
    <w:rsid w:val="00B119E6"/>
    <w:rsid w:val="00C0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5319"/>
  <w15:chartTrackingRefBased/>
  <w15:docId w15:val="{16BBEF37-DFB0-440A-BC98-D0085779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5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E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36200">
      <w:bodyDiv w:val="1"/>
      <w:marLeft w:val="0"/>
      <w:marRight w:val="0"/>
      <w:marTop w:val="0"/>
      <w:marBottom w:val="0"/>
      <w:divBdr>
        <w:top w:val="none" w:sz="0" w:space="0" w:color="auto"/>
        <w:left w:val="none" w:sz="0" w:space="0" w:color="auto"/>
        <w:bottom w:val="none" w:sz="0" w:space="0" w:color="auto"/>
        <w:right w:val="none" w:sz="0" w:space="0" w:color="auto"/>
      </w:divBdr>
      <w:divsChild>
        <w:div w:id="50618883">
          <w:marLeft w:val="0"/>
          <w:marRight w:val="0"/>
          <w:marTop w:val="0"/>
          <w:marBottom w:val="0"/>
          <w:divBdr>
            <w:top w:val="none" w:sz="0" w:space="0" w:color="auto"/>
            <w:left w:val="none" w:sz="0" w:space="0" w:color="auto"/>
            <w:bottom w:val="none" w:sz="0" w:space="0" w:color="auto"/>
            <w:right w:val="none" w:sz="0" w:space="0" w:color="auto"/>
          </w:divBdr>
          <w:divsChild>
            <w:div w:id="838664769">
              <w:marLeft w:val="0"/>
              <w:marRight w:val="0"/>
              <w:marTop w:val="0"/>
              <w:marBottom w:val="0"/>
              <w:divBdr>
                <w:top w:val="none" w:sz="0" w:space="0" w:color="auto"/>
                <w:left w:val="none" w:sz="0" w:space="0" w:color="auto"/>
                <w:bottom w:val="none" w:sz="0" w:space="0" w:color="auto"/>
                <w:right w:val="none" w:sz="0" w:space="0" w:color="auto"/>
              </w:divBdr>
              <w:divsChild>
                <w:div w:id="1777286049">
                  <w:marLeft w:val="0"/>
                  <w:marRight w:val="0"/>
                  <w:marTop w:val="0"/>
                  <w:marBottom w:val="0"/>
                  <w:divBdr>
                    <w:top w:val="none" w:sz="0" w:space="0" w:color="auto"/>
                    <w:left w:val="none" w:sz="0" w:space="0" w:color="auto"/>
                    <w:bottom w:val="none" w:sz="0" w:space="0" w:color="auto"/>
                    <w:right w:val="none" w:sz="0" w:space="0" w:color="auto"/>
                  </w:divBdr>
                  <w:divsChild>
                    <w:div w:id="2126148062">
                      <w:marLeft w:val="0"/>
                      <w:marRight w:val="0"/>
                      <w:marTop w:val="0"/>
                      <w:marBottom w:val="0"/>
                      <w:divBdr>
                        <w:top w:val="none" w:sz="0" w:space="0" w:color="auto"/>
                        <w:left w:val="none" w:sz="0" w:space="0" w:color="auto"/>
                        <w:bottom w:val="none" w:sz="0" w:space="0" w:color="auto"/>
                        <w:right w:val="none" w:sz="0" w:space="0" w:color="auto"/>
                      </w:divBdr>
                      <w:divsChild>
                        <w:div w:id="1988590457">
                          <w:marLeft w:val="0"/>
                          <w:marRight w:val="0"/>
                          <w:marTop w:val="0"/>
                          <w:marBottom w:val="0"/>
                          <w:divBdr>
                            <w:top w:val="none" w:sz="0" w:space="0" w:color="auto"/>
                            <w:left w:val="none" w:sz="0" w:space="0" w:color="auto"/>
                            <w:bottom w:val="none" w:sz="0" w:space="0" w:color="auto"/>
                            <w:right w:val="none" w:sz="0" w:space="0" w:color="auto"/>
                          </w:divBdr>
                          <w:divsChild>
                            <w:div w:id="2122648530">
                              <w:marLeft w:val="0"/>
                              <w:marRight w:val="0"/>
                              <w:marTop w:val="0"/>
                              <w:marBottom w:val="0"/>
                              <w:divBdr>
                                <w:top w:val="none" w:sz="0" w:space="0" w:color="auto"/>
                                <w:left w:val="none" w:sz="0" w:space="0" w:color="auto"/>
                                <w:bottom w:val="none" w:sz="0" w:space="0" w:color="auto"/>
                                <w:right w:val="none" w:sz="0" w:space="0" w:color="auto"/>
                              </w:divBdr>
                              <w:divsChild>
                                <w:div w:id="8732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468051">
      <w:bodyDiv w:val="1"/>
      <w:marLeft w:val="0"/>
      <w:marRight w:val="0"/>
      <w:marTop w:val="0"/>
      <w:marBottom w:val="0"/>
      <w:divBdr>
        <w:top w:val="none" w:sz="0" w:space="0" w:color="auto"/>
        <w:left w:val="none" w:sz="0" w:space="0" w:color="auto"/>
        <w:bottom w:val="none" w:sz="0" w:space="0" w:color="auto"/>
        <w:right w:val="none" w:sz="0" w:space="0" w:color="auto"/>
      </w:divBdr>
      <w:divsChild>
        <w:div w:id="515506201">
          <w:marLeft w:val="0"/>
          <w:marRight w:val="0"/>
          <w:marTop w:val="0"/>
          <w:marBottom w:val="0"/>
          <w:divBdr>
            <w:top w:val="none" w:sz="0" w:space="0" w:color="auto"/>
            <w:left w:val="none" w:sz="0" w:space="0" w:color="auto"/>
            <w:bottom w:val="none" w:sz="0" w:space="0" w:color="auto"/>
            <w:right w:val="none" w:sz="0" w:space="0" w:color="auto"/>
          </w:divBdr>
          <w:divsChild>
            <w:div w:id="1199319577">
              <w:marLeft w:val="0"/>
              <w:marRight w:val="0"/>
              <w:marTop w:val="0"/>
              <w:marBottom w:val="0"/>
              <w:divBdr>
                <w:top w:val="none" w:sz="0" w:space="0" w:color="auto"/>
                <w:left w:val="none" w:sz="0" w:space="0" w:color="auto"/>
                <w:bottom w:val="none" w:sz="0" w:space="0" w:color="auto"/>
                <w:right w:val="none" w:sz="0" w:space="0" w:color="auto"/>
              </w:divBdr>
              <w:divsChild>
                <w:div w:id="729963501">
                  <w:marLeft w:val="0"/>
                  <w:marRight w:val="0"/>
                  <w:marTop w:val="0"/>
                  <w:marBottom w:val="0"/>
                  <w:divBdr>
                    <w:top w:val="none" w:sz="0" w:space="0" w:color="auto"/>
                    <w:left w:val="none" w:sz="0" w:space="0" w:color="auto"/>
                    <w:bottom w:val="none" w:sz="0" w:space="0" w:color="auto"/>
                    <w:right w:val="none" w:sz="0" w:space="0" w:color="auto"/>
                  </w:divBdr>
                  <w:divsChild>
                    <w:div w:id="1768384227">
                      <w:marLeft w:val="0"/>
                      <w:marRight w:val="0"/>
                      <w:marTop w:val="0"/>
                      <w:marBottom w:val="0"/>
                      <w:divBdr>
                        <w:top w:val="none" w:sz="0" w:space="0" w:color="auto"/>
                        <w:left w:val="none" w:sz="0" w:space="0" w:color="auto"/>
                        <w:bottom w:val="none" w:sz="0" w:space="0" w:color="auto"/>
                        <w:right w:val="none" w:sz="0" w:space="0" w:color="auto"/>
                      </w:divBdr>
                      <w:divsChild>
                        <w:div w:id="1203247128">
                          <w:marLeft w:val="0"/>
                          <w:marRight w:val="0"/>
                          <w:marTop w:val="0"/>
                          <w:marBottom w:val="0"/>
                          <w:divBdr>
                            <w:top w:val="none" w:sz="0" w:space="0" w:color="auto"/>
                            <w:left w:val="none" w:sz="0" w:space="0" w:color="auto"/>
                            <w:bottom w:val="none" w:sz="0" w:space="0" w:color="auto"/>
                            <w:right w:val="none" w:sz="0" w:space="0" w:color="auto"/>
                          </w:divBdr>
                          <w:divsChild>
                            <w:div w:id="374624283">
                              <w:marLeft w:val="0"/>
                              <w:marRight w:val="0"/>
                              <w:marTop w:val="0"/>
                              <w:marBottom w:val="0"/>
                              <w:divBdr>
                                <w:top w:val="none" w:sz="0" w:space="0" w:color="auto"/>
                                <w:left w:val="none" w:sz="0" w:space="0" w:color="auto"/>
                                <w:bottom w:val="none" w:sz="0" w:space="0" w:color="auto"/>
                                <w:right w:val="none" w:sz="0" w:space="0" w:color="auto"/>
                              </w:divBdr>
                              <w:divsChild>
                                <w:div w:id="838891008">
                                  <w:marLeft w:val="0"/>
                                  <w:marRight w:val="0"/>
                                  <w:marTop w:val="0"/>
                                  <w:marBottom w:val="0"/>
                                  <w:divBdr>
                                    <w:top w:val="none" w:sz="0" w:space="0" w:color="auto"/>
                                    <w:left w:val="none" w:sz="0" w:space="0" w:color="auto"/>
                                    <w:bottom w:val="none" w:sz="0" w:space="0" w:color="auto"/>
                                    <w:right w:val="none" w:sz="0" w:space="0" w:color="auto"/>
                                  </w:divBdr>
                                  <w:divsChild>
                                    <w:div w:id="10491855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McCarron, Laura (ASD-W)</dc:creator>
  <cp:keywords/>
  <dc:description/>
  <cp:lastModifiedBy>Champion, Andrew    (ASD-W)</cp:lastModifiedBy>
  <cp:revision>4</cp:revision>
  <dcterms:created xsi:type="dcterms:W3CDTF">2020-03-11T16:48:00Z</dcterms:created>
  <dcterms:modified xsi:type="dcterms:W3CDTF">2020-03-11T17:20:00Z</dcterms:modified>
</cp:coreProperties>
</file>